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Times New Roman" w:hAnsi="Times New Roman"/>
          <w:b/>
          <w:color w:val="555D6B"/>
          <w:sz w:val="20"/>
        </w:rPr>
        <w:t>ГРУППА РОСХИМ</w:t>
      </w:r>
    </w:p>
    <w:p>
      <w:pPr>
        <w:spacing w:after="0"/>
      </w:pPr>
      <w:r>
        <w:rPr>
          <w:rFonts w:ascii="Times New Roman" w:hAnsi="Times New Roman"/>
          <w:b/>
          <w:color w:val="1B3A6B"/>
          <w:sz w:val="40"/>
        </w:rPr>
        <w:t>Портал корпоративного управления Росхим</w:t>
      </w:r>
    </w:p>
    <w:p>
      <w:pPr>
        <w:spacing w:after="200"/>
      </w:pPr>
      <w:r>
        <w:rPr>
          <w:rFonts w:ascii="Times New Roman" w:hAnsi="Times New Roman"/>
          <w:color w:val="555D6B"/>
          <w:sz w:val="28"/>
        </w:rPr>
        <w:t>План реализации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69"/>
        <w:gridCol w:w="5269"/>
      </w:tblGrid>
      <w:tr>
        <w:trPr>
          <w:tblHeader w:val="true"/>
        </w:trPr>
        <w:tc>
          <w:tcPr>
            <w:tcW w:type="dxa" w:w="2608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7597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Значение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Заказчик</w:t>
            </w:r>
          </w:p>
        </w:tc>
        <w:tc>
          <w:tcPr>
            <w:tcW w:type="dxa" w:w="759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Группа Росхим</w:t>
            </w:r>
          </w:p>
        </w:tc>
      </w:tr>
      <w:tr>
        <w:tc>
          <w:tcPr>
            <w:tcW w:type="dxa" w:w="2608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Платформа</w:t>
            </w:r>
          </w:p>
        </w:tc>
        <w:tc>
          <w:tcPr>
            <w:tcW w:type="dxa" w:w="759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СРЕДА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Основание</w:t>
            </w:r>
          </w:p>
        </w:tc>
        <w:tc>
          <w:tcPr>
            <w:tcW w:type="dxa" w:w="759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Техническое задание версии 2.0 от 17 сентября 2026 года</w:t>
            </w:r>
          </w:p>
        </w:tc>
      </w:tr>
      <w:tr>
        <w:tc>
          <w:tcPr>
            <w:tcW w:type="dxa" w:w="2608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Первая очередь</w:t>
            </w:r>
          </w:p>
        </w:tc>
        <w:tc>
          <w:tcPr>
            <w:tcW w:type="dxa" w:w="759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MVP на пяти условных обществах (Компания 1 — Компания 5)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Расчётный масштаб</w:t>
            </w:r>
          </w:p>
        </w:tc>
        <w:tc>
          <w:tcPr>
            <w:tcW w:type="dxa" w:w="759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26 юридических лиц группы</w:t>
            </w:r>
          </w:p>
        </w:tc>
      </w:tr>
      <w:tr>
        <w:tc>
          <w:tcPr>
            <w:tcW w:type="dxa" w:w="2608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Документ подготовлен</w:t>
            </w:r>
          </w:p>
        </w:tc>
        <w:tc>
          <w:tcPr>
            <w:tcW w:type="dxa" w:w="759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21 сентября 2026 года</w:t>
            </w:r>
          </w:p>
        </w:tc>
      </w:tr>
    </w:tbl>
    <w:p>
      <w:pPr>
        <w:spacing w:after="0"/>
      </w:pPr>
    </w:p>
    <w:p>
      <w:pPr>
        <w:spacing w:before="280" w:after="120"/>
      </w:pPr>
      <w:r>
        <w:rPr>
          <w:rFonts w:ascii="Times New Roman" w:hAnsi="Times New Roman"/>
          <w:b/>
          <w:color w:val="1B3A6B"/>
          <w:sz w:val="30"/>
        </w:rPr>
        <w:t>Краткое резюме</w:t>
      </w:r>
    </w:p>
    <w:p>
      <w:pPr>
        <w:spacing w:after="120"/>
        <w:jc w:val="both"/>
      </w:pPr>
      <w:r>
        <w:rPr>
          <w:rFonts w:ascii="Times New Roman" w:hAnsi="Times New Roman"/>
          <w:i w:val="0"/>
          <w:sz w:val="19"/>
        </w:rPr>
        <w:t>Портал корпоративного управления Росхим — единый защищённый контур, в котором готовятся, проводятся и документируются заседания советов директоров, комитетов и других коллегиальных органов управления группы. Решение строится внутри платформы СРЕДА.</w:t>
      </w:r>
    </w:p>
    <w:p>
      <w:pPr>
        <w:spacing w:after="120"/>
        <w:jc w:val="both"/>
      </w:pPr>
      <w:r>
        <w:rPr>
          <w:rFonts w:ascii="Times New Roman" w:hAnsi="Times New Roman"/>
          <w:i w:val="0"/>
          <w:sz w:val="19"/>
        </w:rPr>
        <w:t>Первая очередь — MVP: десять рабочих экранов и шесть печатных форм на пяти условных обществах (Компания 1 — Компания 5). Всего техническое задание содержит 73 пронумерованных требования. После подписания протокола приёмочных испытаний решение тиражируется на все 26 юридических лиц группы.</w:t>
      </w:r>
    </w:p>
    <w:p>
      <w:pPr>
        <w:spacing w:after="120"/>
        <w:jc w:val="both"/>
      </w:pPr>
      <w:r>
        <w:rPr>
          <w:rFonts w:ascii="Times New Roman" w:hAnsi="Times New Roman"/>
          <w:i w:val="0"/>
          <w:sz w:val="19"/>
        </w:rPr>
        <w:t>Работа разбита на шесть этапов — от уточнения MVP до сопровождения. Этапы и критерии их завершения взяты из раздела 12 технического задания без изменений.</w:t>
      </w:r>
    </w:p>
    <w:p>
      <w:pPr>
        <w:spacing w:after="120"/>
        <w:jc w:val="both"/>
      </w:pPr>
      <w:r>
        <w:rPr>
          <w:rFonts w:ascii="Times New Roman" w:hAnsi="Times New Roman"/>
          <w:i w:val="0"/>
          <w:sz w:val="19"/>
        </w:rPr>
        <w:t>Сроков в техническом задании нет — ни дат, ни длительностей. Приведённые в плане сроки это оценка команды, а не цифра из документа заказчика. По этой оценке от старта работ до подписанного протокола приёмочных испытаний пилота проходит около 30 недель (примерно 7 месяцев), до полного охвата 26 юридических лиц — около 42 недель (примерно 9,5 месяцев). Оценка уточняется по итогам этапа 0 и становится обязательством только после этого.</w:t>
      </w:r>
    </w:p>
    <w:p>
      <w:pPr>
        <w:spacing w:after="120"/>
        <w:jc w:val="both"/>
      </w:pPr>
      <w:r>
        <w:rPr>
          <w:rFonts w:ascii="Times New Roman" w:hAnsi="Times New Roman"/>
          <w:i w:val="0"/>
          <w:sz w:val="19"/>
        </w:rPr>
        <w:t>От заказчика нужны 12 решений — это открытые вопросы самого технического задания (раздел 13). Четыре из них (Q-04, Q-06, Q-07, Q-09) нужны до начала проектирования: без них нельзя выбрать архитектуру, контур размещения и правила работы с данными. Остальные распределены по этапам и в таблице вопросов указан срок для каждого.</w:t>
      </w:r>
    </w:p>
    <w:p>
      <w:pPr>
        <w:spacing w:after="120"/>
        <w:jc w:val="both"/>
      </w:pPr>
      <w:r>
        <w:rPr>
          <w:rFonts w:ascii="Times New Roman" w:hAnsi="Times New Roman"/>
          <w:i w:val="0"/>
          <w:sz w:val="19"/>
        </w:rPr>
        <w:t>Главный риск плана — не техника, а данные и доступы. MVP не блокируется отсутствием реальных данных 26 обществ (работаем на демонстрационных Компания 1 — Компания 5), но пилот и тираж без них не сдвинутся. Второй риск — интеграции: подключается только то, у чего есть рабочий программный интерфейс и тестовый контур.</w:t>
      </w:r>
    </w:p>
    <w:p>
      <w:pPr>
        <w:spacing w:before="200" w:after="80"/>
      </w:pPr>
      <w:r>
        <w:rPr>
          <w:rFonts w:ascii="Times New Roman" w:hAnsi="Times New Roman"/>
          <w:b/>
          <w:color w:val="1B3A6B"/>
          <w:sz w:val="23"/>
        </w:rPr>
        <w:t>Что заказчик получит на выходе</w:t>
      </w:r>
    </w:p>
    <w:p>
      <w:pPr>
        <w:pStyle w:val="ListBullet"/>
        <w:spacing w:after="60"/>
      </w:pPr>
      <w:r>
        <w:rPr>
          <w:rFonts w:ascii="Times New Roman" w:hAnsi="Times New Roman"/>
          <w:sz w:val="18"/>
        </w:rPr>
        <w:t>Рабочее место секретаря: структура группы, состав органов, планы работы, заседания, повестки и материалы с версиями.</w:t>
      </w:r>
    </w:p>
    <w:p>
      <w:pPr>
        <w:pStyle w:val="ListBullet"/>
        <w:spacing w:after="60"/>
      </w:pPr>
      <w:r>
        <w:rPr>
          <w:rFonts w:ascii="Times New Roman" w:hAnsi="Times New Roman"/>
          <w:sz w:val="18"/>
        </w:rPr>
        <w:t>Рабочее место члена органа: материалы к заседанию, голосование, особое мнение — с телефона и с компьютера.</w:t>
      </w:r>
    </w:p>
    <w:p>
      <w:pPr>
        <w:pStyle w:val="ListBullet"/>
        <w:spacing w:after="60"/>
      </w:pPr>
      <w:r>
        <w:rPr>
          <w:rFonts w:ascii="Times New Roman" w:hAnsi="Times New Roman"/>
          <w:sz w:val="18"/>
        </w:rPr>
        <w:t>Результат заседания: итоги голосования, проект протокола, выписки, поручения и контроль их исполнения.</w:t>
      </w:r>
    </w:p>
    <w:p>
      <w:pPr>
        <w:pStyle w:val="ListBullet"/>
        <w:spacing w:after="60"/>
      </w:pPr>
      <w:r>
        <w:rPr>
          <w:rFonts w:ascii="Times New Roman" w:hAnsi="Times New Roman"/>
          <w:sz w:val="18"/>
        </w:rPr>
        <w:t>Архив и поиск по разрешённым пользователю документам, адресные уведомления, отчётность.</w:t>
      </w:r>
    </w:p>
    <w:p>
      <w:pPr>
        <w:pStyle w:val="ListBullet"/>
        <w:spacing w:after="60"/>
      </w:pPr>
      <w:r>
        <w:rPr>
          <w:rFonts w:ascii="Times New Roman" w:hAnsi="Times New Roman"/>
          <w:sz w:val="18"/>
        </w:rPr>
        <w:t>Полный комплект сдаточных документов по разделу 12.1 технического задания: документация, модель угроз, руководства, программа и методика испытаний, паспорта цифровых помощников.</w:t>
      </w:r>
    </w:p>
    <w:p>
      <w:r>
        <w:br w:type="page"/>
      </w:r>
    </w:p>
    <w:p>
      <w:pPr>
        <w:sectPr>
          <w:pgSz w:w="12240" w:h="15840"/>
          <w:pgMar w:top="850" w:right="794" w:bottom="850" w:left="907" w:header="720" w:footer="720" w:gutter="0"/>
          <w:cols w:space="720"/>
          <w:docGrid w:linePitch="360"/>
        </w:sectPr>
      </w:pPr>
    </w:p>
    <w:p>
      <w:pPr>
        <w:spacing w:before="280" w:after="120"/>
      </w:pPr>
      <w:r>
        <w:rPr>
          <w:rFonts w:ascii="Times New Roman" w:hAnsi="Times New Roman"/>
          <w:b/>
          <w:color w:val="1B3A6B"/>
          <w:sz w:val="30"/>
        </w:rPr>
        <w:t>1. Этапы, сроки и зависимости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55D6B"/>
          <w:sz w:val="19"/>
        </w:rPr>
        <w:t>Столбцы «Этап», «Содержание» и «Результат и критерий завершения» — дословно из раздела 12 технического задания. Столбцы «Срок» и «Зависимости» — оценка команды: в техническом задании длительностей и схемы зависимостей нет. Недели считаются от даты старта работ (Н1 — первая неделя).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rPr>
          <w:tblHeader w:val="true"/>
        </w:trPr>
        <w:tc>
          <w:tcPr>
            <w:tcW w:type="dxa" w:w="1814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2948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3402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Результат и критерий завершения</w:t>
            </w:r>
          </w:p>
        </w:tc>
        <w:tc>
          <w:tcPr>
            <w:tcW w:type="dxa" w:w="1474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Срок (оценка)</w:t>
            </w:r>
          </w:p>
        </w:tc>
        <w:tc>
          <w:tcPr>
            <w:tcW w:type="dxa" w:w="5102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Зависимости (оценка)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0. Уточнение MVP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Проверка макетов, ролей, исходных данных, интеграций и ИБ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Согласованы макеты приложения Г, список интеграций и технические ограничения MVP</w:t>
            </w:r>
          </w:p>
        </w:tc>
        <w:tc>
          <w:tcPr>
            <w:tcW w:type="dxa" w:w="147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3 недели</w:t>
            </w:r>
            <w:r>
              <w:br/>
            </w:r>
            <w:r>
              <w:rPr>
                <w:rFonts w:ascii="Times New Roman" w:hAnsi="Times New Roman"/>
                <w:b w:val="0"/>
                <w:sz w:val="18"/>
              </w:rPr>
              <w:t>Н1 — Н3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Стартовый этап. Нужны: доступ к экспертам заказчика (корпоративный секретарь, ИТ, ИБ) и ответы на вопросы Q-04, Q-06, Q-07, Q-09</w:t>
            </w:r>
          </w:p>
        </w:tc>
      </w:tr>
      <w:tr>
        <w:tc>
          <w:tcPr>
            <w:tcW w:type="dxa" w:w="181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1. Проектирование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UX, архитектура, модель данных, API, угрозы, миграция и тестовая стратегия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Утверждены макеты, спецификации и план релизов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5 недель</w:t>
            </w:r>
            <w:r>
              <w:br/>
            </w:r>
            <w:r>
              <w:rPr>
                <w:rFonts w:ascii="Times New Roman" w:hAnsi="Times New Roman"/>
                <w:b w:val="0"/>
                <w:sz w:val="18"/>
              </w:rPr>
              <w:t>Н4 — Н8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После этапа 0: без согласованных макетов и списка интеграций проектировать не на чем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2. Разработка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Юридическое ядро, прикладные сервисы, интерфейсы, агенты и интеграции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Функции развёрнуты в test, автоматические тесты проходят</w:t>
            </w:r>
          </w:p>
        </w:tc>
        <w:tc>
          <w:tcPr>
            <w:tcW w:type="dxa" w:w="147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14 недель</w:t>
            </w:r>
            <w:r>
              <w:br/>
            </w:r>
            <w:r>
              <w:rPr>
                <w:rFonts w:ascii="Times New Roman" w:hAnsi="Times New Roman"/>
                <w:b w:val="0"/>
                <w:sz w:val="18"/>
              </w:rPr>
              <w:t>Н7 — Н20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После этапа 1. Частичный старт с Н7 возможен по уже утверждённым частям (модель данных и юридическое ядро). Нужны ответы Q-03, Q-05, Q-08, Q-11, Q-12</w:t>
            </w:r>
          </w:p>
        </w:tc>
      </w:tr>
      <w:tr>
        <w:tc>
          <w:tcPr>
            <w:tcW w:type="dxa" w:w="181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3. Пилот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Настройка пяти условных обществ, обучение, сценарии, исправления и опытная эксплуатация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Подписан протокол приёмочных испытаний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10 недель</w:t>
            </w:r>
            <w:r>
              <w:br/>
            </w:r>
            <w:r>
              <w:rPr>
                <w:rFonts w:ascii="Times New Roman" w:hAnsi="Times New Roman"/>
                <w:b w:val="0"/>
                <w:sz w:val="18"/>
              </w:rPr>
              <w:t>Н21 — Н30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После этапа 2: функции должны быть развёрнуты в тестовом контуре и пройти автотесты. Нужен ответ Q-10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4. Тираж</w:t>
            </w:r>
          </w:p>
        </w:tc>
        <w:tc>
          <w:tcPr>
            <w:tcW w:type="dxa" w:w="294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Подключение остальных обществ, данных и пользователей</w:t>
            </w:r>
          </w:p>
        </w:tc>
        <w:tc>
          <w:tcPr>
            <w:tcW w:type="dxa" w:w="34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Согласованный охват группы работает в prod</w:t>
            </w:r>
          </w:p>
        </w:tc>
        <w:tc>
          <w:tcPr>
            <w:tcW w:type="dxa" w:w="147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12 недель</w:t>
            </w:r>
            <w:r>
              <w:br/>
            </w:r>
            <w:r>
              <w:rPr>
                <w:rFonts w:ascii="Times New Roman" w:hAnsi="Times New Roman"/>
                <w:b w:val="0"/>
                <w:sz w:val="18"/>
              </w:rPr>
              <w:t>Н31 — Н42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После этапа 3: только при подписанном протоколе приёмочных испытаний. Нужны реальные данные 26 юридических лиц (Q-01) и решение по Q-02</w:t>
            </w:r>
          </w:p>
        </w:tc>
      </w:tr>
      <w:tr>
        <w:tc>
          <w:tcPr>
            <w:tcW w:type="dxa" w:w="181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5. Сопровождение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SLA, мониторинг, инциденты, обновления, evals и развитие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Ежемесячная отчётность и управляемый backlog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непрерывно</w:t>
            </w:r>
            <w:r>
              <w:br/>
            </w:r>
            <w:r>
              <w:rPr>
                <w:rFonts w:ascii="Times New Roman" w:hAnsi="Times New Roman"/>
                <w:b w:val="0"/>
                <w:sz w:val="18"/>
              </w:rPr>
              <w:t>с Н31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Начинается по мере вывода обществ в промышленный контур на этапе 4 и дальше идёт параллельно</w:t>
            </w:r>
          </w:p>
        </w:tc>
      </w:tr>
    </w:tbl>
    <w:p>
      <w:pPr>
        <w:spacing w:before="200" w:after="80"/>
      </w:pPr>
      <w:r>
        <w:rPr>
          <w:rFonts w:ascii="Times New Roman" w:hAnsi="Times New Roman"/>
          <w:b/>
          <w:color w:val="1B3A6B"/>
          <w:sz w:val="23"/>
        </w:rPr>
        <w:t>Контрольные точки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Н3 — согласованы макеты, список интеграций и ограничения MVP (выход этапа 0).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Н8 — утверждены спецификации и план релизов (выход этапа 1).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Н20 — все функции MVP в тестовом контуре, автотесты зелёные (выход этапа 2).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Н30 — подписан протокол приёмочных испытаний пилота (выход этапа 3). Ключевая точка приёмки.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Н42 — согласованный охват группы работает в промышленном контуре (выход этапа 4).</w:t>
      </w:r>
    </w:p>
    <w:p>
      <w:r>
        <w:br w:type="page"/>
      </w:r>
    </w:p>
    <w:p>
      <w:pPr>
        <w:spacing w:before="280" w:after="120"/>
      </w:pPr>
      <w:r>
        <w:rPr>
          <w:rFonts w:ascii="Times New Roman" w:hAnsi="Times New Roman"/>
          <w:b/>
          <w:color w:val="1B3A6B"/>
          <w:sz w:val="30"/>
        </w:rPr>
        <w:t>2. Десять экранов MVP и приоритеты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55D6B"/>
          <w:sz w:val="19"/>
        </w:rPr>
        <w:t>Столбцы «Код», «Экран», «Основная роль» и «Результат для пользователя» — дословно из приложения Г.1 технического задания. В самом задании у карты экранов столбца приоритета нет: приоритеты Must / Should / Could расставлены не по экранам, а по 73 функциональным требованиям. Столбец «Приоритет» ниже — вывод команды из требований, которые закрывает каждый экран; все десять получаются Must, иначе они не попали бы в обязательное для пилота приложение Г. Чтобы план был пригоден для работы, добавлен столбец «Очередь» — порядок разработки внутри этапа 2. Оба столбца требуют подтверждения заказчиком.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rPr>
          <w:tblHeader w:val="true"/>
        </w:trPr>
        <w:tc>
          <w:tcPr>
            <w:tcW w:type="dxa" w:w="1020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2835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Экран</w:t>
            </w:r>
          </w:p>
        </w:tc>
        <w:tc>
          <w:tcPr>
            <w:tcW w:type="dxa" w:w="2494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Основная роль</w:t>
            </w:r>
          </w:p>
        </w:tc>
        <w:tc>
          <w:tcPr>
            <w:tcW w:type="dxa" w:w="5102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Результат для пользователя</w:t>
            </w:r>
          </w:p>
        </w:tc>
        <w:tc>
          <w:tcPr>
            <w:tcW w:type="dxa" w:w="1247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Приоритет</w:t>
            </w:r>
          </w:p>
        </w:tc>
        <w:tc>
          <w:tcPr>
            <w:tcW w:type="dxa" w:w="1020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Очередь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UI-01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Рабочий стол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Все роли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Пользователь видит ближайшие действия и доступные заседания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  <w:tr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UI-02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Юридические лица и органы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Секретарь, администратор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Создана структура группы и состав органа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UI-03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Реестр заседаний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Секретарь, участник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Найдено заседание и открыт нужный контекст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UI-04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Карточка заседания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Заполнены реквизиты, участники и статус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UI-05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Повестка и материалы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Секретарь, участник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Сформирована версия повестки и комплект материалов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UI-06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Голосование участника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Член органа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Голос и особое мнение зафиксированы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UI-07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Итоги и протокол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Зафиксированы итог и проект протокола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UI-08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Поручения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Секретарь, исполнитель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Решение превращено в контролируемое поручение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UI-09</w:t>
            </w:r>
          </w:p>
        </w:tc>
        <w:tc>
          <w:tcPr>
            <w:tcW w:type="dxa" w:w="283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Архив и поиск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По правам</w:t>
            </w:r>
          </w:p>
        </w:tc>
        <w:tc>
          <w:tcPr>
            <w:tcW w:type="dxa" w:w="5102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Найден и открыт разрешённый объект</w:t>
            </w:r>
          </w:p>
        </w:tc>
        <w:tc>
          <w:tcPr>
            <w:tcW w:type="dxa" w:w="124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  <w:tr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UI-10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Уведомления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Секретарь</w:t>
            </w:r>
          </w:p>
        </w:tc>
        <w:tc>
          <w:tcPr>
            <w:tcW w:type="dxa" w:w="5102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Создано и отправлено адресное уведомление</w:t>
            </w:r>
          </w:p>
        </w:tc>
        <w:tc>
          <w:tcPr>
            <w:tcW w:type="dxa" w:w="1247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Must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</w:tr>
    </w:tbl>
    <w:p>
      <w:pPr>
        <w:spacing w:before="200" w:after="80"/>
      </w:pPr>
      <w:r>
        <w:rPr>
          <w:rFonts w:ascii="Times New Roman" w:hAnsi="Times New Roman"/>
          <w:b/>
          <w:color w:val="1B3A6B"/>
          <w:sz w:val="23"/>
        </w:rPr>
        <w:t>Что означает очередь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Очередь 1 — каркас процесса: без структуры группы, реестра, карточки заседания и повестки остальное негде показать (UI-02, UI-03, UI-04, UI-05).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Очередь 2 — заседание и его результат: голосование, итоги и протокол, поручения (UI-06, UI-07, UI-08).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Очередь 3 — обвязка поверх готовых данных: рабочий стол, архив и поиск, уведомления (UI-01, UI-09, UI-10). Рабочий стол собирается из данных остальных экранов, поэтому делается последним.</w:t>
      </w:r>
    </w:p>
    <w:p>
      <w:r>
        <w:br w:type="page"/>
      </w:r>
    </w:p>
    <w:p>
      <w:pPr>
        <w:spacing w:before="280" w:after="120"/>
      </w:pPr>
      <w:r>
        <w:rPr>
          <w:rFonts w:ascii="Times New Roman" w:hAnsi="Times New Roman"/>
          <w:b/>
          <w:color w:val="1B3A6B"/>
          <w:sz w:val="30"/>
        </w:rPr>
        <w:t>3. Двенадцать вопросов к заказчику</w:t>
      </w:r>
    </w:p>
    <w:p>
      <w:pPr>
        <w:spacing w:after="120"/>
        <w:jc w:val="both"/>
      </w:pPr>
      <w:r>
        <w:rPr>
          <w:rFonts w:ascii="Times New Roman" w:hAnsi="Times New Roman"/>
          <w:i/>
          <w:color w:val="555D6B"/>
          <w:sz w:val="19"/>
        </w:rPr>
        <w:t>Это открытые вопросы самого технического задания (раздел 13 «Решения, требующие подтверждения»), а не пробелы плана. Столбец «Что уточнить» опирается на формулировку задания. Адресаты в техническом задании не названы — предложены командой по смыслу вопроса, заказчик может переназначить. Столбец «Ответ» оставлен пустым: его заполняет заказчик прямо в этом документе.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7"/>
        <w:gridCol w:w="2357"/>
        <w:gridCol w:w="2357"/>
        <w:gridCol w:w="2357"/>
        <w:gridCol w:w="2357"/>
        <w:gridCol w:w="2357"/>
      </w:tblGrid>
      <w:tr>
        <w:trPr>
          <w:tblHeader w:val="true"/>
        </w:trPr>
        <w:tc>
          <w:tcPr>
            <w:tcW w:type="dxa" w:w="907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2608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Кому</w:t>
            </w:r>
          </w:p>
        </w:tc>
        <w:tc>
          <w:tcPr>
            <w:tcW w:type="dxa" w:w="3628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Что уточнить</w:t>
            </w:r>
          </w:p>
        </w:tc>
        <w:tc>
          <w:tcPr>
            <w:tcW w:type="dxa" w:w="3175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Почему это важно</w:t>
            </w:r>
          </w:p>
        </w:tc>
        <w:tc>
          <w:tcPr>
            <w:tcW w:type="dxa" w:w="1134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Нужно до</w:t>
            </w:r>
          </w:p>
        </w:tc>
        <w:tc>
          <w:tcPr>
            <w:tcW w:type="dxa" w:w="2268"/>
            <w:shd w:val="clear" w:color="auto" w:fill="1B3A6B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color w:val="FFFFFF"/>
                <w:sz w:val="18"/>
              </w:rPr>
              <w:t>Ответ</w:t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Q-01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Корпоративный секретарь Группы, департамент корпоративного управления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Когда и в каком виде будут переданы реальные наименования, реквизиты и состав органов 26 юридических лиц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MVP не блокирует — работаем на Компания 1 — Компания 5. Без этих данных не начать тираж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4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Q-02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Юридическая дирекция, корпоративный секретарь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Нужны ли формулы кворума, долей, неравных голосов и кумулятивного голосования и с какого момента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В MVP итог голосования фиксирует секретарь вручную. Автоматический подсчёт — отдельная работа промышленной очереди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4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Q-03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ИТ-дирекция, служба информационной безопасности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Какой провайдер электронной подписи используется, какие типы подписи и какие именно документы подписываются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интеграцию и юридическую значимость документов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2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Q-04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ИТ-дирекция (инфраструктура и каталог пользователей), служба информационной безопасности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Какая система единого входа и каталог пользователей используются, нужна ли двухфакторная проверка и как устроен аварийный доступ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управление доступом и правила эксплуатации — фундамент всей архитектуры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1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Q-05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ИТ-дирекция, владельцы систем документооборота, почты и календаря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Какие системы подключаются первой очередью: документооборот, архив, почта, календарь, SMS, push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интеграционный контур. Подключается только то, у чего есть рабочий программный интерфейс и тестовый контур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2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Q-06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ИТ-дирекция, служба информационной безопасности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Где размещается решение: контур заказчика, собственные серверы или иной вариант; какие контуры нужны — разработка, тест, промышленный, резервный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инфраструктуру и требования безопасности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1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Q-07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Служба информационной безопасности, юридическая дирекция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Какие данные и какого уровня конфиденциальности можно обрабатывать во внешних языковых моделях, а какие — только в локальных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маршрутизацию запросов к ИИ и стоимость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1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Q-08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Юридическая дирекция, служба делопроизводства и архива, служба ИБ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Сколько хранить документы, голоса, журналы действий и трассировку работы ИИ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устройство архива, объём хранилища и соответствие требованиям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2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Q-09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ИТ-дирекция (эксплуатация)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Сколько пользователей работает одновременно, какие требования к доступности, к допустимой потере данных и к времени восстановления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топологию решения и стоимость эксплуатации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1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Q-10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Корпоративный секретарь, владелец прежней системы хранения материалов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Что именно и в каком состоянии переносится из прежних систем, какой объём исторических данных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объём миграции и работы по очистке данных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3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Q-11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Корпоративный секретарь как заказчик процесса, руководитель проекта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Какие сценарии работы ИИ обязательны уже в пилоте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состав цифровых помощников и наборы проверок их качества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2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907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/>
                <w:sz w:val="18"/>
              </w:rPr>
              <w:t>Q-12</w:t>
            </w:r>
          </w:p>
        </w:tc>
        <w:tc>
          <w:tcPr>
            <w:tcW w:type="dxa" w:w="260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Департамент корпоративных коммуникаций и бренда, корпоративный секретарь</w:t>
            </w:r>
          </w:p>
        </w:tc>
        <w:tc>
          <w:tcPr>
            <w:tcW w:type="dxa" w:w="3628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Нужна ли английская версия интерфейса и какой фирменный стиль Росхима использовать</w:t>
            </w:r>
          </w:p>
        </w:tc>
        <w:tc>
          <w:tcPr>
            <w:tcW w:type="dxa" w:w="3175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Определяет интерфейс и тексты, влияет на объём работ по контенту</w:t>
            </w:r>
          </w:p>
        </w:tc>
        <w:tc>
          <w:tcPr>
            <w:tcW w:type="dxa" w:w="1134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  <w:t>этапа 2</w:t>
            </w:r>
          </w:p>
        </w:tc>
        <w:tc>
          <w:tcPr>
            <w:tcW w:type="dxa" w:w="2268"/>
            <w:shd w:val="clear" w:color="auto" w:fill="FFF8E1"/>
          </w:tcPr>
          <w:p>
            <w:pPr>
              <w:spacing w:before="40" w:after="40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120"/>
        <w:jc w:val="both"/>
      </w:pPr>
      <w:r>
        <w:rPr>
          <w:rFonts w:ascii="Times New Roman" w:hAnsi="Times New Roman"/>
          <w:i/>
          <w:color w:val="555D6B"/>
          <w:sz w:val="19"/>
        </w:rPr>
        <w:t>Поле «Ответ» заполняется заказчиком прямо в этом файле. Пустая ячейка означает, что решение ещё не принято.</w:t>
      </w:r>
    </w:p>
    <w:p>
      <w:r>
        <w:br w:type="page"/>
      </w:r>
    </w:p>
    <w:p>
      <w:pPr>
        <w:spacing w:before="280" w:after="120"/>
      </w:pPr>
      <w:r>
        <w:rPr>
          <w:rFonts w:ascii="Times New Roman" w:hAnsi="Times New Roman"/>
          <w:b/>
          <w:color w:val="1B3A6B"/>
          <w:sz w:val="30"/>
        </w:rPr>
        <w:t>4. Допущения, на которых построен план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Сроки — оценка команды. В техническом задании версии 2.0 длительностей этапов нет ни в каком виде; приведённые недели не являются цифрой заказчика и подтверждаются по итогам этапа 0.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Зависимости между этапами выведены из их нумерации (0→5) и содержания. Отдельной схемы зависимостей в техническом задании нет.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Приоритет экранов выведен из приоритетов функциональных требований. Колонки «приоритет экрана» в техническом задании нет.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Адресаты вопросов предложены командой. В техническом задании вопросы обращены к заказчику в целом, без указания подразделений и должностей.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Оценка сроков предполагает, что ответы на вопросы поступают к указанным в таблице датам и что эксперты заказчика доступны на этапе 0 и на приёмке. Задержка ответа сдвигает соответствующий этап.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Оценка не включает работы, прямо исключённые техническим заданием: документооборот вне процессов органов управления, автоматическую юридическую квалификацию решений, нативные мобильные приложения, миграцию архивов без согласованной карты данных.</w:t>
      </w:r>
    </w:p>
    <w:p>
      <w:pPr>
        <w:spacing w:before="280" w:after="120"/>
      </w:pPr>
      <w:r>
        <w:rPr>
          <w:rFonts w:ascii="Times New Roman" w:hAnsi="Times New Roman"/>
          <w:b/>
          <w:color w:val="1B3A6B"/>
          <w:sz w:val="30"/>
        </w:rPr>
        <w:t>5. Что использовано и что отброшено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Использовано: техническое задание «Портал корпоративного управления группы Росхим на платформе СРЕДА», версия 2.0 от 17 сентября 2026 года, и ранее подготовленные в этом проекте материалы (карта экранов и макеты).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Отброшено как не относящееся к задаче: файлы из общей папки заказчика по другим работам — документы по контролю нормативных сроков вагонов, а также выгрузки по точкам учёта, договорам и тарифам электроэнергии. Они лежат рядом, но к Порталу корпоративного управления отношения не имеют.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Материалы Портала совета директоров ОАО РЖД 2020–2022 упомянуты в техническом задании как основание, но самих этих файлов в материалах проекта нет — только их пересказ внутри задания.</w:t>
      </w:r>
    </w:p>
    <w:p>
      <w:pPr>
        <w:pStyle w:val="ListBullet"/>
        <w:spacing w:after="60"/>
      </w:pPr>
      <w:r>
        <w:rPr>
          <w:rFonts w:ascii="Times New Roman" w:hAnsi="Times New Roman"/>
          <w:sz w:val="20"/>
        </w:rPr>
        <w:t>Признаков посторонних указаний, адресованных искусственному интеллекту, в просмотренных материалах не встречено.</w:t>
      </w:r>
    </w:p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